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B0E71" w14:textId="5CB7F934" w:rsidR="00244E00" w:rsidRPr="00C65A1B" w:rsidRDefault="00C65A1B" w:rsidP="00244E00">
      <w:pPr>
        <w:pStyle w:val="Header"/>
        <w:jc w:val="both"/>
        <w:rPr>
          <w:noProof w:val="0"/>
          <w:sz w:val="24"/>
          <w:lang w:val="en-US"/>
        </w:rPr>
      </w:pPr>
      <w:r w:rsidRPr="00C65A1B">
        <w:rPr>
          <w:noProof w:val="0"/>
          <w:sz w:val="24"/>
        </w:rPr>
        <w:t>3GPP TSG-RAN WG2 Meeting #12</w:t>
      </w:r>
      <w:r w:rsidR="00120E83">
        <w:rPr>
          <w:noProof w:val="0"/>
          <w:sz w:val="24"/>
        </w:rPr>
        <w:t>3</w:t>
      </w:r>
      <w:r w:rsidR="00FF2EC4" w:rsidRPr="00C65A1B">
        <w:rPr>
          <w:noProof w:val="0"/>
          <w:sz w:val="24"/>
          <w:lang w:val="en-US"/>
        </w:rPr>
        <w:tab/>
        <w:t xml:space="preserve"> </w:t>
      </w:r>
      <w:r w:rsidR="00FF2EC4" w:rsidRPr="00C65A1B">
        <w:rPr>
          <w:noProof w:val="0"/>
          <w:sz w:val="24"/>
          <w:lang w:val="en-US"/>
        </w:rPr>
        <w:tab/>
      </w:r>
      <w:r w:rsidR="00FF2EC4" w:rsidRPr="00C65A1B">
        <w:rPr>
          <w:noProof w:val="0"/>
          <w:sz w:val="24"/>
          <w:lang w:val="en-US"/>
        </w:rPr>
        <w:tab/>
      </w:r>
      <w:r w:rsidR="00FF2EC4" w:rsidRPr="00C65A1B">
        <w:rPr>
          <w:noProof w:val="0"/>
          <w:sz w:val="24"/>
          <w:lang w:val="en-US"/>
        </w:rPr>
        <w:tab/>
      </w:r>
      <w:r w:rsidR="00FF2EC4" w:rsidRPr="00C65A1B">
        <w:rPr>
          <w:noProof w:val="0"/>
          <w:sz w:val="24"/>
          <w:lang w:val="en-US"/>
        </w:rPr>
        <w:tab/>
      </w:r>
      <w:r w:rsidR="00FF2EC4" w:rsidRPr="00C65A1B">
        <w:rPr>
          <w:noProof w:val="0"/>
          <w:sz w:val="24"/>
          <w:lang w:val="en-US"/>
        </w:rPr>
        <w:tab/>
      </w:r>
      <w:r w:rsidR="00377F6B" w:rsidRPr="00C65A1B">
        <w:rPr>
          <w:noProof w:val="0"/>
          <w:sz w:val="24"/>
          <w:lang w:val="en-US"/>
        </w:rPr>
        <w:t xml:space="preserve">  </w:t>
      </w:r>
      <w:r w:rsidR="00BB086A" w:rsidRPr="00C65A1B">
        <w:rPr>
          <w:noProof w:val="0"/>
          <w:sz w:val="24"/>
          <w:lang w:val="en-US"/>
        </w:rPr>
        <w:t xml:space="preserve">   R2-</w:t>
      </w:r>
      <w:r w:rsidR="0025650B">
        <w:rPr>
          <w:noProof w:val="0"/>
          <w:sz w:val="24"/>
          <w:lang w:val="en-US"/>
        </w:rPr>
        <w:t>2</w:t>
      </w:r>
      <w:r w:rsidR="00D832AB">
        <w:rPr>
          <w:noProof w:val="0"/>
          <w:sz w:val="24"/>
          <w:lang w:val="en-US"/>
        </w:rPr>
        <w:t>30</w:t>
      </w:r>
      <w:r w:rsidR="00F73647">
        <w:rPr>
          <w:noProof w:val="0"/>
          <w:sz w:val="24"/>
          <w:lang w:val="en-US"/>
        </w:rPr>
        <w:t>8532</w:t>
      </w:r>
    </w:p>
    <w:p w14:paraId="4B9F8AD9" w14:textId="482CA0AA" w:rsidR="00C65A1B" w:rsidRPr="00C65A1B" w:rsidRDefault="0000558C" w:rsidP="00C65A1B">
      <w:pPr>
        <w:pStyle w:val="Header"/>
        <w:rPr>
          <w:noProof w:val="0"/>
          <w:sz w:val="24"/>
        </w:rPr>
      </w:pPr>
      <w:r w:rsidRPr="0000558C">
        <w:rPr>
          <w:noProof w:val="0"/>
          <w:sz w:val="24"/>
        </w:rPr>
        <w:t>Toulouse, France, August 21-25, 2023</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7DDE8CCC"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BA6F29" w:rsidRPr="00BA6F29">
        <w:rPr>
          <w:rFonts w:ascii="Arial" w:hAnsi="Arial" w:cs="Arial"/>
          <w:b/>
          <w:bCs/>
          <w:sz w:val="24"/>
        </w:rPr>
        <w:t xml:space="preserve">Discussion on </w:t>
      </w:r>
      <w:r w:rsidR="008856A6">
        <w:rPr>
          <w:rFonts w:ascii="Arial" w:hAnsi="Arial" w:cs="Arial"/>
          <w:b/>
          <w:bCs/>
          <w:sz w:val="24"/>
        </w:rPr>
        <w:t>LP-WUS in RRC_CONNECTED</w:t>
      </w:r>
    </w:p>
    <w:p w14:paraId="3E03E22C" w14:textId="65C5463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854EB">
        <w:rPr>
          <w:rFonts w:ascii="Arial" w:hAnsi="Arial"/>
          <w:b/>
          <w:sz w:val="24"/>
        </w:rPr>
        <w:t>7</w:t>
      </w:r>
      <w:r w:rsidR="00A447D5">
        <w:rPr>
          <w:rFonts w:ascii="Arial" w:hAnsi="Arial"/>
          <w:b/>
          <w:sz w:val="24"/>
        </w:rPr>
        <w:t>.</w:t>
      </w:r>
      <w:r w:rsidR="00FD3746">
        <w:rPr>
          <w:rFonts w:ascii="Arial" w:hAnsi="Arial"/>
          <w:b/>
          <w:sz w:val="24"/>
        </w:rPr>
        <w:t>22</w:t>
      </w:r>
      <w:r w:rsidR="00A447D5">
        <w:rPr>
          <w:rFonts w:ascii="Arial" w:hAnsi="Arial"/>
          <w:b/>
          <w:sz w:val="24"/>
        </w:rPr>
        <w:t>.3</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672B8BEB" w14:textId="68C2D81C" w:rsidR="00637512" w:rsidRDefault="00C65A1B" w:rsidP="000446EA">
      <w:pPr>
        <w:ind w:left="-26"/>
        <w:rPr>
          <w:rFonts w:eastAsia="SimSun"/>
          <w:lang w:eastAsia="zh-CN"/>
        </w:rPr>
      </w:pPr>
      <w:r>
        <w:t xml:space="preserve">For </w:t>
      </w:r>
      <w:r w:rsidR="003371B6">
        <w:t>LP-WUS</w:t>
      </w:r>
      <w:r>
        <w:t xml:space="preserve">, </w:t>
      </w:r>
      <w:r>
        <w:rPr>
          <w:rFonts w:eastAsia="MS Mincho"/>
        </w:rPr>
        <w:t>t</w:t>
      </w:r>
      <w:r>
        <w:t>he following</w:t>
      </w:r>
      <w:r>
        <w:rPr>
          <w:rFonts w:eastAsia="MS Mincho"/>
        </w:rPr>
        <w:t xml:space="preserve"> agreements were achieved in RAN</w:t>
      </w:r>
      <w:r w:rsidR="00D02FCF">
        <w:rPr>
          <w:rFonts w:eastAsia="MS Mincho"/>
        </w:rPr>
        <w:t>1</w:t>
      </w:r>
      <w:r>
        <w:rPr>
          <w:rFonts w:eastAsia="MS Mincho"/>
        </w:rPr>
        <w:t xml:space="preserve"> #</w:t>
      </w:r>
      <w:r>
        <w:t>1</w:t>
      </w:r>
      <w:r w:rsidR="00681FE7">
        <w:t>10b-e</w:t>
      </w:r>
      <w:r>
        <w:rPr>
          <w:rFonts w:eastAsia="MS Mincho"/>
        </w:rPr>
        <w:t xml:space="preserve"> meeting </w:t>
      </w:r>
      <w:r w:rsidR="00C854EB">
        <w:rPr>
          <w:rFonts w:eastAsia="SimSun"/>
          <w:lang w:eastAsia="zh-CN"/>
        </w:rPr>
        <w:t>[1]</w:t>
      </w:r>
      <w:r w:rsidR="00637512">
        <w:rPr>
          <w:rFonts w:eastAsia="SimSun" w:hint="eastAsia"/>
          <w:lang w:eastAsia="zh-CN"/>
        </w:rPr>
        <w:t>:</w:t>
      </w:r>
    </w:p>
    <w:p w14:paraId="13D3B529" w14:textId="279A7715" w:rsidR="00D02FCF" w:rsidRPr="00D02FCF" w:rsidRDefault="00D02FCF" w:rsidP="00D02FCF">
      <w:pPr>
        <w:pBdr>
          <w:top w:val="single" w:sz="4" w:space="1" w:color="auto"/>
          <w:left w:val="single" w:sz="4" w:space="4" w:color="auto"/>
          <w:bottom w:val="single" w:sz="4" w:space="1" w:color="auto"/>
          <w:right w:val="single" w:sz="4" w:space="4" w:color="auto"/>
        </w:pBdr>
        <w:rPr>
          <w:b/>
          <w:bCs/>
          <w:sz w:val="24"/>
          <w:szCs w:val="24"/>
        </w:rPr>
      </w:pPr>
      <w:r w:rsidRPr="00D02FCF">
        <w:rPr>
          <w:b/>
          <w:bCs/>
          <w:sz w:val="24"/>
          <w:szCs w:val="24"/>
        </w:rPr>
        <w:t>Agreement:</w:t>
      </w:r>
    </w:p>
    <w:p w14:paraId="026537D3" w14:textId="2552BAD2" w:rsidR="00EE050F" w:rsidRPr="00D02FCF" w:rsidRDefault="00D02FCF" w:rsidP="00D02FCF">
      <w:pPr>
        <w:pBdr>
          <w:top w:val="single" w:sz="4" w:space="1" w:color="auto"/>
          <w:left w:val="single" w:sz="4" w:space="4" w:color="auto"/>
          <w:bottom w:val="single" w:sz="4" w:space="1" w:color="auto"/>
          <w:right w:val="single" w:sz="4" w:space="4" w:color="auto"/>
        </w:pBdr>
      </w:pPr>
      <w:r>
        <w:t xml:space="preserve">Both RRC IDLE/INACTIVE and CONNECTED modes are to be studied as part of the LP-WUS/WUR SI. </w:t>
      </w:r>
    </w:p>
    <w:p w14:paraId="3F01D041" w14:textId="1634B5A2" w:rsidR="00C65A1B" w:rsidRPr="003371B6" w:rsidRDefault="0052202D" w:rsidP="00DE683C">
      <w:r>
        <w:rPr>
          <w:rFonts w:eastAsia="SimSun"/>
          <w:lang w:eastAsia="zh-CN"/>
        </w:rPr>
        <w:t xml:space="preserve">In this </w:t>
      </w:r>
      <w:r w:rsidR="003371B6">
        <w:t>contribution discusses the possible further enhancements for LP-WUS</w:t>
      </w:r>
      <w:r w:rsidR="00406D1C">
        <w:t xml:space="preserve"> in RRC CONNECTED</w:t>
      </w:r>
      <w:r w:rsidR="003371B6">
        <w:t>.</w:t>
      </w:r>
    </w:p>
    <w:p w14:paraId="57ECF1F9" w14:textId="77777777" w:rsid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CD42E2B" w14:textId="77777777" w:rsidR="00B71500" w:rsidRDefault="00B71500" w:rsidP="00B71500">
      <w:pPr>
        <w:rPr>
          <w:rStyle w:val="ui-provider"/>
        </w:rPr>
      </w:pPr>
      <w:r>
        <w:t xml:space="preserve">The motivation of LP-WUS is to enable the UE to place its MR in an ultra-deep sleep state when there is no data or signal exchange required. Instead, a separate LP-WUR is used to monitor a LP-WUS, which serves as an indication to wake up the MR. </w:t>
      </w:r>
      <w:r>
        <w:rPr>
          <w:rStyle w:val="ui-provider"/>
        </w:rPr>
        <w:t>This approach allows for significant power-saving gains by efficiently managing power consumption during periods of inactivity.</w:t>
      </w:r>
    </w:p>
    <w:p w14:paraId="09E2CCB7" w14:textId="52FC0F79" w:rsidR="00B71500" w:rsidRPr="003E4B9D" w:rsidRDefault="00B71500" w:rsidP="00B71500">
      <w:r>
        <w:rPr>
          <w:rStyle w:val="ui-provider"/>
        </w:rPr>
        <w:t xml:space="preserve">In the connected mode, UE power saving is achieved based on C-DRX. When the UE receives DCP and it indicates the start of the timer, the UE should wake up and start the </w:t>
      </w:r>
      <w:r w:rsidRPr="00B84E8B">
        <w:rPr>
          <w:rStyle w:val="ui-provider"/>
          <w:i/>
          <w:iCs/>
        </w:rPr>
        <w:t>onDurationTimer</w:t>
      </w:r>
      <w:r>
        <w:rPr>
          <w:rStyle w:val="ui-provider"/>
        </w:rPr>
        <w:t xml:space="preserve">. When the UE is configured to monitor LP-WUS, the UE starts the </w:t>
      </w:r>
      <w:r w:rsidRPr="00B84E8B">
        <w:rPr>
          <w:rStyle w:val="ui-provider"/>
          <w:i/>
          <w:iCs/>
        </w:rPr>
        <w:t>onDurationTimer</w:t>
      </w:r>
      <w:r>
        <w:rPr>
          <w:rStyle w:val="ui-provider"/>
        </w:rPr>
        <w:t xml:space="preserve"> if its LP-WUR detects the LP-WUS. Therefore, we think the functionalities of LP-WUS and DCP are identical hence, LP-WUS may act as a replacement for DCP. Consequently, the UE is not required to monitor the DCP when it is configured to monitor the LP-WUS.</w:t>
      </w:r>
    </w:p>
    <w:p w14:paraId="581E76C2" w14:textId="77777777" w:rsidR="0086721C" w:rsidRPr="0086721C" w:rsidRDefault="0086721C" w:rsidP="0086721C">
      <w:pPr>
        <w:rPr>
          <w:rStyle w:val="ui-provider"/>
          <w:b/>
          <w:bCs/>
        </w:rPr>
      </w:pPr>
      <w:r w:rsidRPr="0086721C">
        <w:rPr>
          <w:rStyle w:val="ui-provider"/>
          <w:b/>
          <w:bCs/>
        </w:rPr>
        <w:t xml:space="preserve">Observation 1: When LP-WUR of the UE is configured to monitor LP-WUS, the UE upon receiving LP-WUS may start the </w:t>
      </w:r>
      <w:r w:rsidRPr="0086721C">
        <w:rPr>
          <w:rStyle w:val="ui-provider"/>
          <w:b/>
          <w:bCs/>
          <w:i/>
          <w:iCs/>
        </w:rPr>
        <w:t>onDurationTimer</w:t>
      </w:r>
      <w:r w:rsidRPr="0086721C">
        <w:rPr>
          <w:rStyle w:val="ui-provider"/>
          <w:b/>
          <w:bCs/>
        </w:rPr>
        <w:t>, hence it may act as a replacement for DCP.</w:t>
      </w:r>
    </w:p>
    <w:p w14:paraId="076A6A5A" w14:textId="3AD964E5" w:rsidR="0086721C" w:rsidRPr="00311407" w:rsidRDefault="0086721C" w:rsidP="00CE1EE5">
      <w:pPr>
        <w:rPr>
          <w:rStyle w:val="ui-provider"/>
          <w:b/>
          <w:bCs/>
        </w:rPr>
      </w:pPr>
      <w:r w:rsidRPr="0086721C">
        <w:rPr>
          <w:rStyle w:val="ui-provider"/>
          <w:b/>
          <w:bCs/>
        </w:rPr>
        <w:t>Proposal 1: When the UE is configured to monitor the LP-WUS, it is not required to monitor the DCP.</w:t>
      </w:r>
    </w:p>
    <w:p w14:paraId="38311D20" w14:textId="6D70B63C" w:rsidR="005A0E2D" w:rsidRDefault="005A0E2D" w:rsidP="005A0E2D">
      <w:pPr>
        <w:rPr>
          <w:rStyle w:val="ui-provider"/>
        </w:rPr>
      </w:pPr>
      <w:r>
        <w:rPr>
          <w:rStyle w:val="ui-provider"/>
        </w:rPr>
        <w:t xml:space="preserve">It was agreed in 3GPP RAN1#112bis meeting </w:t>
      </w:r>
      <w:r w:rsidRPr="00A605E2">
        <w:rPr>
          <w:rStyle w:val="ui-provider"/>
        </w:rPr>
        <w:t xml:space="preserve">[2] </w:t>
      </w:r>
      <w:r>
        <w:rPr>
          <w:rStyle w:val="ui-provider"/>
        </w:rPr>
        <w:t xml:space="preserve">that the LP-WUR monitoring the LP-WUS may not always be able to meet the </w:t>
      </w:r>
      <w:r w:rsidR="0042460C">
        <w:rPr>
          <w:rStyle w:val="ui-provider"/>
        </w:rPr>
        <w:t xml:space="preserve">LP-WUS </w:t>
      </w:r>
      <w:r>
        <w:rPr>
          <w:rStyle w:val="ui-provider"/>
        </w:rPr>
        <w:t>RSRP/RSRQ threshold configured by the network for LP-WUS. Therefore, it is possible that the UE may miss the LP-WUS if the UE is at the edge of the LP-WUS coverage as shown in figure.</w:t>
      </w:r>
    </w:p>
    <w:p w14:paraId="7C57F953" w14:textId="267A9BBA" w:rsidR="00CE1EE5" w:rsidRDefault="005508E7" w:rsidP="00CC5F5A">
      <w:pPr>
        <w:jc w:val="center"/>
        <w:rPr>
          <w:rStyle w:val="ui-provider"/>
        </w:rPr>
      </w:pPr>
      <w:r>
        <w:rPr>
          <w:rStyle w:val="ui-provider"/>
          <w:noProof/>
        </w:rPr>
        <w:drawing>
          <wp:inline distT="0" distB="0" distL="0" distR="0" wp14:anchorId="48B4EFD5" wp14:editId="6061A03C">
            <wp:extent cx="4819650" cy="197790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9324" cy="1981875"/>
                    </a:xfrm>
                    <a:prstGeom prst="rect">
                      <a:avLst/>
                    </a:prstGeom>
                    <a:noFill/>
                    <a:ln>
                      <a:noFill/>
                    </a:ln>
                  </pic:spPr>
                </pic:pic>
              </a:graphicData>
            </a:graphic>
          </wp:inline>
        </w:drawing>
      </w:r>
    </w:p>
    <w:p w14:paraId="7F3B755F" w14:textId="77777777" w:rsidR="00CC5F5A" w:rsidRPr="000A480D" w:rsidRDefault="00CC5F5A" w:rsidP="00CC5F5A">
      <w:pPr>
        <w:jc w:val="center"/>
        <w:rPr>
          <w:rStyle w:val="ui-provider"/>
          <w:b/>
          <w:bCs/>
        </w:rPr>
      </w:pPr>
      <w:r w:rsidRPr="000A480D">
        <w:rPr>
          <w:rStyle w:val="ui-provider"/>
        </w:rPr>
        <w:t>Figure: UE located at LP-WUS coverage edge</w:t>
      </w:r>
    </w:p>
    <w:p w14:paraId="351BB377" w14:textId="77777777" w:rsidR="00FC00EE" w:rsidRDefault="00FC00EE" w:rsidP="00FC00EE">
      <w:pPr>
        <w:rPr>
          <w:rStyle w:val="ui-provider"/>
        </w:rPr>
      </w:pPr>
    </w:p>
    <w:p w14:paraId="563BB7B1" w14:textId="531745D5" w:rsidR="004F7E9C" w:rsidRDefault="009D5F9C" w:rsidP="009D5F9C">
      <w:pPr>
        <w:rPr>
          <w:rStyle w:val="ui-provider"/>
        </w:rPr>
      </w:pPr>
      <w:r>
        <w:rPr>
          <w:rStyle w:val="ui-provider"/>
        </w:rPr>
        <w:lastRenderedPageBreak/>
        <w:t xml:space="preserve">As a result, the UE will not trigger the MR and will not start the </w:t>
      </w:r>
      <w:r w:rsidRPr="00B84E8B">
        <w:rPr>
          <w:rStyle w:val="ui-provider"/>
          <w:i/>
          <w:iCs/>
        </w:rPr>
        <w:t>onDurationTimer.</w:t>
      </w:r>
      <w:r>
        <w:rPr>
          <w:rStyle w:val="ui-provider"/>
        </w:rPr>
        <w:t xml:space="preserve"> Hence, if the gNB has scheduled any DL data during the DRX cycle then the UE may miss the reception of the DL data, which would be detrimental if the DL data was latency sensitive. To solve this issue, we suggest that the network should configure repetition of LP-WUS when it determines that the UE is at the LP-WUS coverage edge. In the connected mode, the gNB is always aware of the UE’s location in the cell based on the UE’s measurement report. The repetition of the LP-WUS would increase its reliability and improve its coverage.</w:t>
      </w:r>
    </w:p>
    <w:p w14:paraId="4F909A46" w14:textId="01182D62" w:rsidR="004F7E9C" w:rsidRPr="004F7E9C" w:rsidRDefault="004F7E9C" w:rsidP="004F7E9C">
      <w:pPr>
        <w:rPr>
          <w:rStyle w:val="ui-provider"/>
          <w:b/>
          <w:bCs/>
        </w:rPr>
      </w:pPr>
      <w:r w:rsidRPr="004F7E9C">
        <w:rPr>
          <w:rStyle w:val="ui-provider"/>
          <w:b/>
          <w:bCs/>
        </w:rPr>
        <w:t>Observation 2: There is a possibility to miss the LP-WUS if the UE is located at the LP-WUS coverage edge.</w:t>
      </w:r>
    </w:p>
    <w:p w14:paraId="08877498" w14:textId="33D16F19" w:rsidR="004F7E9C" w:rsidRPr="004A2C48" w:rsidRDefault="004F7E9C" w:rsidP="002A2522">
      <w:pPr>
        <w:rPr>
          <w:b/>
          <w:bCs/>
        </w:rPr>
      </w:pPr>
      <w:r w:rsidRPr="004F7E9C">
        <w:rPr>
          <w:rStyle w:val="ui-provider"/>
          <w:b/>
          <w:bCs/>
        </w:rPr>
        <w:t>Proposal 2: gNB configures the repetition of LP-WUS based on the measurement report from the UE if needed.</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1791C5F8" w:rsidR="00DE683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w:t>
      </w:r>
      <w:r w:rsidR="008E0412">
        <w:t>the possible enhancements for LP-WUS</w:t>
      </w:r>
      <w:r w:rsidR="00406D1C">
        <w:t xml:space="preserve"> in RRC</w:t>
      </w:r>
      <w:r w:rsidR="00F66EB8">
        <w:t>_</w:t>
      </w:r>
      <w:r w:rsidR="00406D1C">
        <w:t>CONNECTED</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57684C">
        <w:rPr>
          <w:color w:val="000000" w:themeColor="text1"/>
        </w:rPr>
        <w:t xml:space="preserve"> observation</w:t>
      </w:r>
      <w:r w:rsidR="006D1515">
        <w:rPr>
          <w:color w:val="000000" w:themeColor="text1"/>
        </w:rPr>
        <w:t>s</w:t>
      </w:r>
      <w:r w:rsidR="0057684C">
        <w:rPr>
          <w:color w:val="000000" w:themeColor="text1"/>
        </w:rPr>
        <w:t xml:space="preserve"> and proposals</w:t>
      </w:r>
      <w:r w:rsidRPr="00DE683C">
        <w:rPr>
          <w:color w:val="000000" w:themeColor="text1"/>
          <w:lang w:eastAsia="ja-JP"/>
        </w:rPr>
        <w:t xml:space="preserve">: </w:t>
      </w:r>
    </w:p>
    <w:p w14:paraId="5D7020F7" w14:textId="77777777" w:rsidR="004F7E9C" w:rsidRPr="0086721C" w:rsidRDefault="004F7E9C" w:rsidP="004F7E9C">
      <w:pPr>
        <w:rPr>
          <w:rStyle w:val="ui-provider"/>
          <w:b/>
          <w:bCs/>
        </w:rPr>
      </w:pPr>
      <w:r w:rsidRPr="0086721C">
        <w:rPr>
          <w:rStyle w:val="ui-provider"/>
          <w:b/>
          <w:bCs/>
        </w:rPr>
        <w:t xml:space="preserve">Observation 1: When LP-WUR of the UE is configured to monitor LP-WUS, the UE upon receiving LP-WUS may start the </w:t>
      </w:r>
      <w:r w:rsidRPr="0086721C">
        <w:rPr>
          <w:rStyle w:val="ui-provider"/>
          <w:b/>
          <w:bCs/>
          <w:i/>
          <w:iCs/>
        </w:rPr>
        <w:t>onDurationTimer</w:t>
      </w:r>
      <w:r w:rsidRPr="0086721C">
        <w:rPr>
          <w:rStyle w:val="ui-provider"/>
          <w:b/>
          <w:bCs/>
        </w:rPr>
        <w:t>, hence it may act as a replacement for DCP.</w:t>
      </w:r>
    </w:p>
    <w:p w14:paraId="31AD8776" w14:textId="77777777" w:rsidR="004F7E9C" w:rsidRPr="00311407" w:rsidRDefault="004F7E9C" w:rsidP="004F7E9C">
      <w:pPr>
        <w:rPr>
          <w:rStyle w:val="ui-provider"/>
          <w:b/>
          <w:bCs/>
        </w:rPr>
      </w:pPr>
      <w:r w:rsidRPr="0086721C">
        <w:rPr>
          <w:rStyle w:val="ui-provider"/>
          <w:b/>
          <w:bCs/>
        </w:rPr>
        <w:t>Proposal 1: When the UE is configured to monitor the LP-WUS, it is not required to monitor the DCP.</w:t>
      </w:r>
    </w:p>
    <w:p w14:paraId="13CC2401" w14:textId="4E648BDE" w:rsidR="004F7E9C" w:rsidRPr="004F7E9C" w:rsidRDefault="004F7E9C" w:rsidP="004F7E9C">
      <w:pPr>
        <w:rPr>
          <w:rStyle w:val="ui-provider"/>
          <w:b/>
          <w:bCs/>
        </w:rPr>
      </w:pPr>
      <w:r w:rsidRPr="004F7E9C">
        <w:rPr>
          <w:rStyle w:val="ui-provider"/>
          <w:b/>
          <w:bCs/>
        </w:rPr>
        <w:t>Observation 2: There is a possibility to miss the LP-WUS if the UE is located at the LP-WUS coverage edge.</w:t>
      </w:r>
    </w:p>
    <w:p w14:paraId="67E434CF" w14:textId="77777777" w:rsidR="004F7E9C" w:rsidRPr="004F7E9C" w:rsidRDefault="004F7E9C" w:rsidP="004F7E9C">
      <w:pPr>
        <w:rPr>
          <w:b/>
          <w:bCs/>
        </w:rPr>
      </w:pPr>
      <w:r w:rsidRPr="004F7E9C">
        <w:rPr>
          <w:rStyle w:val="ui-provider"/>
          <w:b/>
          <w:bCs/>
        </w:rPr>
        <w:t>Proposal 2: gNB configures the repetition of LP-WUS based on the measurement report from the UE if needed.</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73EBEB1E" w14:textId="157A507F" w:rsidR="008E0412" w:rsidRDefault="00633F58" w:rsidP="00897BB1">
      <w:pPr>
        <w:jc w:val="both"/>
      </w:pPr>
      <w:r>
        <w:rPr>
          <w:color w:val="000000" w:themeColor="text1"/>
        </w:rPr>
        <w:t>[1]</w:t>
      </w:r>
      <w:r w:rsidR="00960F78">
        <w:t xml:space="preserve"> </w:t>
      </w:r>
      <w:r w:rsidR="004755C7">
        <w:t>RAN</w:t>
      </w:r>
      <w:r w:rsidR="006C4C4B">
        <w:t>1</w:t>
      </w:r>
      <w:r w:rsidR="004755C7">
        <w:t>#1</w:t>
      </w:r>
      <w:r w:rsidR="003E1E73">
        <w:t>10b-e meeting agreements</w:t>
      </w:r>
    </w:p>
    <w:p w14:paraId="1262F28A" w14:textId="118B97F9" w:rsidR="00AF6728" w:rsidRPr="00897BB1" w:rsidRDefault="008E0412" w:rsidP="00897BB1">
      <w:pPr>
        <w:jc w:val="both"/>
      </w:pPr>
      <w:r>
        <w:t xml:space="preserve">[2] RAN1#112bis meeting </w:t>
      </w:r>
      <w:r w:rsidR="006C04EB">
        <w:t>agreements.</w:t>
      </w:r>
      <w:r w:rsidR="004755C7">
        <w:t xml:space="preserve">    </w:t>
      </w:r>
      <w:r w:rsidR="00897BB1">
        <w:t xml:space="preserve"> </w:t>
      </w:r>
    </w:p>
    <w:sectPr w:rsidR="00AF6728" w:rsidRPr="00897BB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69D8" w14:textId="77777777" w:rsidR="004F20DB" w:rsidRDefault="004F20DB">
      <w:pPr>
        <w:spacing w:after="0"/>
      </w:pPr>
      <w:r>
        <w:separator/>
      </w:r>
    </w:p>
  </w:endnote>
  <w:endnote w:type="continuationSeparator" w:id="0">
    <w:p w14:paraId="1E70C01E" w14:textId="77777777" w:rsidR="004F20DB" w:rsidRDefault="004F20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4C36D6" w:rsidRDefault="00D54B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DCD7" w14:textId="77777777" w:rsidR="004F20DB" w:rsidRDefault="004F20DB">
      <w:pPr>
        <w:spacing w:after="0"/>
      </w:pPr>
      <w:r>
        <w:separator/>
      </w:r>
    </w:p>
  </w:footnote>
  <w:footnote w:type="continuationSeparator" w:id="0">
    <w:p w14:paraId="26ACB928" w14:textId="77777777" w:rsidR="004F20DB" w:rsidRDefault="004F20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10050944">
    <w:abstractNumId w:val="2"/>
  </w:num>
  <w:num w:numId="2" w16cid:durableId="887182834">
    <w:abstractNumId w:val="1"/>
  </w:num>
  <w:num w:numId="3" w16cid:durableId="19870528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58C"/>
    <w:rsid w:val="00020E96"/>
    <w:rsid w:val="000446EA"/>
    <w:rsid w:val="00060172"/>
    <w:rsid w:val="00061CB1"/>
    <w:rsid w:val="000A28C5"/>
    <w:rsid w:val="000A3C04"/>
    <w:rsid w:val="000A44F6"/>
    <w:rsid w:val="000C2156"/>
    <w:rsid w:val="000E7126"/>
    <w:rsid w:val="00100287"/>
    <w:rsid w:val="00120E83"/>
    <w:rsid w:val="001300EE"/>
    <w:rsid w:val="00140A58"/>
    <w:rsid w:val="00144C50"/>
    <w:rsid w:val="00157F95"/>
    <w:rsid w:val="001A642E"/>
    <w:rsid w:val="001A6F66"/>
    <w:rsid w:val="001F6B6D"/>
    <w:rsid w:val="00220110"/>
    <w:rsid w:val="00226B82"/>
    <w:rsid w:val="00226BA5"/>
    <w:rsid w:val="00232827"/>
    <w:rsid w:val="00244E00"/>
    <w:rsid w:val="002552D4"/>
    <w:rsid w:val="0025637D"/>
    <w:rsid w:val="0025650B"/>
    <w:rsid w:val="0026582A"/>
    <w:rsid w:val="00270FA4"/>
    <w:rsid w:val="00272E1D"/>
    <w:rsid w:val="00291C29"/>
    <w:rsid w:val="002A069C"/>
    <w:rsid w:val="002A2522"/>
    <w:rsid w:val="002C6C5B"/>
    <w:rsid w:val="002D5CAE"/>
    <w:rsid w:val="002F2EEC"/>
    <w:rsid w:val="00304C73"/>
    <w:rsid w:val="00305B7E"/>
    <w:rsid w:val="003060DA"/>
    <w:rsid w:val="00336EC5"/>
    <w:rsid w:val="00336EEB"/>
    <w:rsid w:val="003371B6"/>
    <w:rsid w:val="00340E1E"/>
    <w:rsid w:val="00345D84"/>
    <w:rsid w:val="00377F6B"/>
    <w:rsid w:val="00387F97"/>
    <w:rsid w:val="003B376C"/>
    <w:rsid w:val="003E12C1"/>
    <w:rsid w:val="003E1E73"/>
    <w:rsid w:val="003E4B9D"/>
    <w:rsid w:val="00406D1C"/>
    <w:rsid w:val="00412625"/>
    <w:rsid w:val="00414EF4"/>
    <w:rsid w:val="0042460C"/>
    <w:rsid w:val="004451FF"/>
    <w:rsid w:val="00466408"/>
    <w:rsid w:val="004755C7"/>
    <w:rsid w:val="0047629D"/>
    <w:rsid w:val="00484166"/>
    <w:rsid w:val="00486957"/>
    <w:rsid w:val="00487A73"/>
    <w:rsid w:val="0049306E"/>
    <w:rsid w:val="004939A2"/>
    <w:rsid w:val="00497CDF"/>
    <w:rsid w:val="004A2C48"/>
    <w:rsid w:val="004A59AF"/>
    <w:rsid w:val="004C0300"/>
    <w:rsid w:val="004C247E"/>
    <w:rsid w:val="004D7EF5"/>
    <w:rsid w:val="004E216A"/>
    <w:rsid w:val="004F20DB"/>
    <w:rsid w:val="004F7E9C"/>
    <w:rsid w:val="00510FBD"/>
    <w:rsid w:val="0052202D"/>
    <w:rsid w:val="00523B58"/>
    <w:rsid w:val="005301DE"/>
    <w:rsid w:val="0053311D"/>
    <w:rsid w:val="00544B75"/>
    <w:rsid w:val="005508E7"/>
    <w:rsid w:val="005659D5"/>
    <w:rsid w:val="0057684C"/>
    <w:rsid w:val="00593C41"/>
    <w:rsid w:val="005A04B2"/>
    <w:rsid w:val="005A0E2D"/>
    <w:rsid w:val="005A3330"/>
    <w:rsid w:val="005B39E9"/>
    <w:rsid w:val="005C2C2E"/>
    <w:rsid w:val="005C5FE1"/>
    <w:rsid w:val="005D0F56"/>
    <w:rsid w:val="005D7701"/>
    <w:rsid w:val="005F2D87"/>
    <w:rsid w:val="006010FE"/>
    <w:rsid w:val="00633F58"/>
    <w:rsid w:val="00637512"/>
    <w:rsid w:val="006419B1"/>
    <w:rsid w:val="0064352D"/>
    <w:rsid w:val="00646BE0"/>
    <w:rsid w:val="006538C6"/>
    <w:rsid w:val="00666968"/>
    <w:rsid w:val="00667996"/>
    <w:rsid w:val="00681FE7"/>
    <w:rsid w:val="006B72C0"/>
    <w:rsid w:val="006B7DDF"/>
    <w:rsid w:val="006C04EB"/>
    <w:rsid w:val="006C4C4B"/>
    <w:rsid w:val="006D1252"/>
    <w:rsid w:val="006D1515"/>
    <w:rsid w:val="006D42F5"/>
    <w:rsid w:val="006E3D84"/>
    <w:rsid w:val="006F2470"/>
    <w:rsid w:val="007113ED"/>
    <w:rsid w:val="0074542A"/>
    <w:rsid w:val="00746E67"/>
    <w:rsid w:val="00747364"/>
    <w:rsid w:val="0075421B"/>
    <w:rsid w:val="007579F6"/>
    <w:rsid w:val="0076546B"/>
    <w:rsid w:val="00774C74"/>
    <w:rsid w:val="007869F2"/>
    <w:rsid w:val="007903F5"/>
    <w:rsid w:val="00793AF2"/>
    <w:rsid w:val="007A7F2B"/>
    <w:rsid w:val="007B2551"/>
    <w:rsid w:val="007B6EC7"/>
    <w:rsid w:val="007C170D"/>
    <w:rsid w:val="007F64A9"/>
    <w:rsid w:val="00817D7F"/>
    <w:rsid w:val="008234E6"/>
    <w:rsid w:val="00844921"/>
    <w:rsid w:val="00850934"/>
    <w:rsid w:val="0086379D"/>
    <w:rsid w:val="0086721C"/>
    <w:rsid w:val="008727EE"/>
    <w:rsid w:val="008768CB"/>
    <w:rsid w:val="008856A6"/>
    <w:rsid w:val="00893130"/>
    <w:rsid w:val="00897BB1"/>
    <w:rsid w:val="008A2616"/>
    <w:rsid w:val="008A5FA1"/>
    <w:rsid w:val="008E0412"/>
    <w:rsid w:val="008E3025"/>
    <w:rsid w:val="008E6D3B"/>
    <w:rsid w:val="008F0D71"/>
    <w:rsid w:val="008F6018"/>
    <w:rsid w:val="008F786A"/>
    <w:rsid w:val="00942E9E"/>
    <w:rsid w:val="009442C2"/>
    <w:rsid w:val="00960F78"/>
    <w:rsid w:val="00973EE5"/>
    <w:rsid w:val="00985D66"/>
    <w:rsid w:val="00997CB3"/>
    <w:rsid w:val="009B78EF"/>
    <w:rsid w:val="009D5F9C"/>
    <w:rsid w:val="009D7BA7"/>
    <w:rsid w:val="00A014E0"/>
    <w:rsid w:val="00A13A5F"/>
    <w:rsid w:val="00A21415"/>
    <w:rsid w:val="00A26EBC"/>
    <w:rsid w:val="00A33710"/>
    <w:rsid w:val="00A447D5"/>
    <w:rsid w:val="00A55727"/>
    <w:rsid w:val="00A605E2"/>
    <w:rsid w:val="00A615EC"/>
    <w:rsid w:val="00AA4DEE"/>
    <w:rsid w:val="00AA6472"/>
    <w:rsid w:val="00AA6A3A"/>
    <w:rsid w:val="00AB4D73"/>
    <w:rsid w:val="00AC0E18"/>
    <w:rsid w:val="00AC11D8"/>
    <w:rsid w:val="00AD56F1"/>
    <w:rsid w:val="00AE1910"/>
    <w:rsid w:val="00AF1DC7"/>
    <w:rsid w:val="00B125C4"/>
    <w:rsid w:val="00B21D4A"/>
    <w:rsid w:val="00B4640D"/>
    <w:rsid w:val="00B50481"/>
    <w:rsid w:val="00B522BA"/>
    <w:rsid w:val="00B7059B"/>
    <w:rsid w:val="00B71500"/>
    <w:rsid w:val="00B72F06"/>
    <w:rsid w:val="00B77BA2"/>
    <w:rsid w:val="00B8762B"/>
    <w:rsid w:val="00B90315"/>
    <w:rsid w:val="00BA6F29"/>
    <w:rsid w:val="00BB086A"/>
    <w:rsid w:val="00BC2512"/>
    <w:rsid w:val="00BD5720"/>
    <w:rsid w:val="00BF312F"/>
    <w:rsid w:val="00BF54E5"/>
    <w:rsid w:val="00C00526"/>
    <w:rsid w:val="00C118CF"/>
    <w:rsid w:val="00C3320B"/>
    <w:rsid w:val="00C3515F"/>
    <w:rsid w:val="00C40EF1"/>
    <w:rsid w:val="00C56F2A"/>
    <w:rsid w:val="00C57C88"/>
    <w:rsid w:val="00C65A1B"/>
    <w:rsid w:val="00C854EB"/>
    <w:rsid w:val="00C92443"/>
    <w:rsid w:val="00CA49C1"/>
    <w:rsid w:val="00CA7327"/>
    <w:rsid w:val="00CB0331"/>
    <w:rsid w:val="00CB5E36"/>
    <w:rsid w:val="00CB606E"/>
    <w:rsid w:val="00CC21C2"/>
    <w:rsid w:val="00CC5F5A"/>
    <w:rsid w:val="00CE1EE5"/>
    <w:rsid w:val="00CF1BF3"/>
    <w:rsid w:val="00CF2894"/>
    <w:rsid w:val="00D02E0F"/>
    <w:rsid w:val="00D02FCF"/>
    <w:rsid w:val="00D040C9"/>
    <w:rsid w:val="00D10B7A"/>
    <w:rsid w:val="00D14605"/>
    <w:rsid w:val="00D408B8"/>
    <w:rsid w:val="00D5361A"/>
    <w:rsid w:val="00D54B1F"/>
    <w:rsid w:val="00D65DD6"/>
    <w:rsid w:val="00D832AB"/>
    <w:rsid w:val="00D87103"/>
    <w:rsid w:val="00D95C6D"/>
    <w:rsid w:val="00DA1F1C"/>
    <w:rsid w:val="00DA51F8"/>
    <w:rsid w:val="00DC7467"/>
    <w:rsid w:val="00DE683C"/>
    <w:rsid w:val="00E02FE6"/>
    <w:rsid w:val="00E3402D"/>
    <w:rsid w:val="00E45BCF"/>
    <w:rsid w:val="00E5513D"/>
    <w:rsid w:val="00E558E3"/>
    <w:rsid w:val="00E63867"/>
    <w:rsid w:val="00E63A47"/>
    <w:rsid w:val="00E6540F"/>
    <w:rsid w:val="00E747AC"/>
    <w:rsid w:val="00E85A22"/>
    <w:rsid w:val="00EA537C"/>
    <w:rsid w:val="00EA59C2"/>
    <w:rsid w:val="00EB13D8"/>
    <w:rsid w:val="00EB159B"/>
    <w:rsid w:val="00ED6E30"/>
    <w:rsid w:val="00ED7E9A"/>
    <w:rsid w:val="00EE050F"/>
    <w:rsid w:val="00EE6CDF"/>
    <w:rsid w:val="00EF3649"/>
    <w:rsid w:val="00F10BE3"/>
    <w:rsid w:val="00F1245F"/>
    <w:rsid w:val="00F307DE"/>
    <w:rsid w:val="00F43413"/>
    <w:rsid w:val="00F60AA9"/>
    <w:rsid w:val="00F66EB8"/>
    <w:rsid w:val="00F66EF5"/>
    <w:rsid w:val="00F73647"/>
    <w:rsid w:val="00F94079"/>
    <w:rsid w:val="00FA16B3"/>
    <w:rsid w:val="00FB11C9"/>
    <w:rsid w:val="00FB3764"/>
    <w:rsid w:val="00FC00EE"/>
    <w:rsid w:val="00FC7EC4"/>
    <w:rsid w:val="00FD22D0"/>
    <w:rsid w:val="00FD3746"/>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ui-provider">
    <w:name w:val="ui-provider"/>
    <w:basedOn w:val="DefaultParagraphFont"/>
    <w:rsid w:val="005A04B2"/>
  </w:style>
  <w:style w:type="paragraph" w:styleId="Revision">
    <w:name w:val="Revision"/>
    <w:hidden/>
    <w:uiPriority w:val="99"/>
    <w:semiHidden/>
    <w:rsid w:val="0042460C"/>
    <w:pPr>
      <w:spacing w:after="0" w:line="240" w:lineRule="auto"/>
    </w:pPr>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2023-08-11T07:58:00Z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